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C82245" w:rsidRDefault="00C82245">
      <w:pPr>
        <w:pStyle w:val="Brdtext"/>
        <w:rPr>
          <w:rFonts w:ascii="Times New Roman"/>
          <w:sz w:val="20"/>
        </w:rPr>
      </w:pPr>
    </w:p>
    <w:p w:rsidR="004D50A7" w:rsidRDefault="004D50A7" w:rsidP="004D50A7">
      <w:pPr>
        <w:pStyle w:val="Rubrik1"/>
        <w:rPr>
          <w:rFonts w:eastAsia="Times New Roman" w:cs="Times New Roman"/>
        </w:rPr>
      </w:pPr>
      <w:bookmarkStart w:id="0" w:name="_Toc466366101"/>
      <w:r>
        <w:t>Delegationsordning för gemensam nämnd för företagshälsovård samt tolk- och översättarservice</w:t>
      </w:r>
      <w:bookmarkEnd w:id="0"/>
    </w:p>
    <w:p w:rsidR="00C82245" w:rsidRDefault="00C82245">
      <w:pPr>
        <w:rPr>
          <w:rFonts w:ascii="Arial Narrow" w:hAnsi="Arial Narrow"/>
          <w:sz w:val="72"/>
        </w:rPr>
      </w:pPr>
    </w:p>
    <w:p w:rsidR="00A41CBB" w:rsidRDefault="00A41CBB">
      <w:pPr>
        <w:rPr>
          <w:rFonts w:ascii="Arial Narrow" w:hAnsi="Arial Narrow"/>
          <w:sz w:val="72"/>
        </w:rPr>
        <w:sectPr w:rsidR="00A41CBB">
          <w:footerReference w:type="default" r:id="rId7"/>
          <w:type w:val="continuous"/>
          <w:pgSz w:w="16840" w:h="11910" w:orient="landscape"/>
          <w:pgMar w:top="1100" w:right="1080" w:bottom="1120" w:left="1820" w:header="720" w:footer="938" w:gutter="0"/>
          <w:pgNumType w:start="1"/>
          <w:cols w:space="720"/>
        </w:sectPr>
      </w:pPr>
    </w:p>
    <w:p w:rsidR="00C82245" w:rsidRDefault="00C82245">
      <w:pPr>
        <w:pStyle w:val="Brdtext"/>
        <w:rPr>
          <w:rFonts w:ascii="Times New Roman"/>
          <w:sz w:val="78"/>
        </w:rPr>
      </w:pPr>
    </w:p>
    <w:p w:rsidR="00C82245" w:rsidRDefault="00C82245">
      <w:pPr>
        <w:pStyle w:val="Brdtext"/>
        <w:rPr>
          <w:rFonts w:ascii="Times New Roman"/>
          <w:sz w:val="78"/>
        </w:rPr>
      </w:pPr>
    </w:p>
    <w:p w:rsidR="0089672B" w:rsidRPr="0089672B" w:rsidRDefault="0089672B" w:rsidP="0089672B">
      <w:pPr>
        <w:ind w:left="107"/>
        <w:rPr>
          <w:sz w:val="67"/>
        </w:rPr>
      </w:pPr>
      <w:bookmarkStart w:id="1" w:name="_bookmark0"/>
      <w:bookmarkEnd w:id="1"/>
      <w:r w:rsidRPr="0089672B">
        <w:rPr>
          <w:w w:val="90"/>
          <w:sz w:val="67"/>
        </w:rPr>
        <w:t>Inledning</w:t>
      </w:r>
    </w:p>
    <w:p w:rsidR="0089672B" w:rsidRPr="0089672B" w:rsidRDefault="0089672B" w:rsidP="0089672B">
      <w:pPr>
        <w:spacing w:before="6" w:line="252" w:lineRule="auto"/>
        <w:ind w:left="124" w:hanging="5"/>
        <w:rPr>
          <w:w w:val="105"/>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Grunderna för delegering av 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Enligt kommunallagen får styrelse/nämnd uppdra åt ett utskott, presidium, en ledamot eller ersättare eller åt en anställd att besluta på styrelsens/nämndens vägnar i ett visst ärende eller en viss grupp av ärenden. Det delegerande organet får återta delegationen när som helst och utan angivande av skäl.</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Vidaredelegation</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Beslut som har delegerats till förvaltningschef får vidaredelegeras i ett led i de fall styrelsen/nämnden har godkänt det, vilket i så fall framgår av delegationsordningen. Utöver detta är vidaredelegering inte tillåtet i något fall. Förvaltningschefen ansvarar för uppföljning av att beslut med stöd av vidaredelegering följer de regler som har givits för vidaredelegeringen.</w:t>
      </w:r>
    </w:p>
    <w:p w:rsidR="0089672B" w:rsidRPr="0089672B" w:rsidRDefault="0089672B" w:rsidP="0089672B">
      <w:pPr>
        <w:spacing w:before="6" w:line="252" w:lineRule="auto"/>
        <w:ind w:left="124" w:hanging="5"/>
        <w:rPr>
          <w:b/>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Beslut som inte får delegeras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Ärenden som avser verksamheten mål, inriktning, omfattning eller kvalitet får inte delegeras.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Delegationsbeslut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I Region Örebro läns verksamhet görs dagligen olika ställningstaganden. I kommunalrättslig mening skiljer man på två olika former av ställningstaganden, delegationsbeslut och verkställighetsbeslut. Ett delegationsbeslut är ett ställningstagande som Region Örebro län gör där det finns ett utrymme för självständig bedömning, ett tolkningsutrymme. Det är styrelsen/nämnden som beslutar vem som kan fatta beslut på delegation, vilket framgår av delegationsordningen.</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b/>
          <w:sz w:val="21"/>
          <w:szCs w:val="21"/>
        </w:rPr>
        <w:t>Hänskjutning av beslut uppåt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En delegat ska hänskjuta beslut uppåt till det delegerande organet, om beslutet, trots att det i formell mening kan sägas rymmas inom delegationen, innehåller sådana omständigheter att det av principiella eller politiska skäl bör fattas av det delegerande organet.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Verkställighetsbeslut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sz w:val="21"/>
          <w:szCs w:val="21"/>
        </w:rPr>
      </w:pPr>
      <w:r w:rsidRPr="0089672B">
        <w:rPr>
          <w:sz w:val="21"/>
          <w:szCs w:val="21"/>
        </w:rPr>
        <w:t>Utöver de beslut som kan fattas enligt denna delegation fattar tjänstepersoner i Region Örebro län så kallande verkställighetsbeslut. Verkställighet betyder att åtgärden är en normal del av en tjänstepersons uppdrag i kraft av dennes tjänsteställning och innebär tillämpning/verkställande av tidigare beslut, lag, instruktion eller befattningsbeskrivning. För att beslut ska kunna anses som verkställighet krävs att det finns politiskt fastställda mål för verksamheten samt en politiskt fastställd ekonomisk ram. Kännetecknande för verkställighetsbeslut är att det inte finns utrymme för självständiga bedömningar. En stor del av de beslut som fattas i Region Örebro län är av typen verkställighet. Verkställighetsbeslut behöver inte anmälas.</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b/>
          <w:sz w:val="21"/>
          <w:szCs w:val="21"/>
        </w:rPr>
      </w:pPr>
      <w:r w:rsidRPr="0089672B">
        <w:rPr>
          <w:b/>
          <w:sz w:val="21"/>
          <w:szCs w:val="21"/>
        </w:rPr>
        <w:t>Anmälan av delegationsbeslut</w:t>
      </w:r>
    </w:p>
    <w:p w:rsidR="0089672B" w:rsidRPr="0089672B" w:rsidRDefault="0089672B" w:rsidP="0089672B">
      <w:pPr>
        <w:spacing w:before="6" w:line="252" w:lineRule="auto"/>
        <w:ind w:left="124" w:hanging="5"/>
        <w:rPr>
          <w:sz w:val="21"/>
          <w:szCs w:val="21"/>
        </w:rPr>
      </w:pPr>
    </w:p>
    <w:p w:rsidR="0089672B" w:rsidRPr="0089672B" w:rsidRDefault="0089672B" w:rsidP="0089672B">
      <w:pPr>
        <w:spacing w:before="6" w:line="252" w:lineRule="auto"/>
        <w:ind w:left="124" w:hanging="5"/>
        <w:rPr>
          <w:w w:val="105"/>
          <w:sz w:val="21"/>
          <w:szCs w:val="21"/>
        </w:rPr>
      </w:pPr>
      <w:r w:rsidRPr="0089672B">
        <w:rPr>
          <w:sz w:val="21"/>
          <w:szCs w:val="21"/>
        </w:rPr>
        <w:t>Beslut som är fattade på delegation ska som huvudregel anmälas till delegerande styrelse/nämnd vid nästkommande sammanträde. Även beslut som har vidaredelegerats av förvaltningschef till annan anställd ska på samma sätt anmälas till styrelse/nämnd. Den som har fått rätten att fatta ett beslut på delegation är också den som ansvarar för att delegationsbeslut anmäls till styrelse/nämnd. Anmälan ska ske genom att beslutet i elektronisk form  sänds till sekreteraren i styrelse/nämnd. I undantagsfall behöver delegationsbeslut inte anmälas. I så fall framgår det av delegationsordningen. Beslut som inte anmäls, ska protokollföras särskilt, om de kan överklagas med stöd av bestämmelserna i kommunallagens 13:e kapitel (laglighetsprövning).</w:t>
      </w:r>
    </w:p>
    <w:p w:rsidR="00C82245" w:rsidRDefault="00C82245">
      <w:pPr>
        <w:sectPr w:rsidR="00C82245">
          <w:pgSz w:w="16840" w:h="11910" w:orient="landscape"/>
          <w:pgMar w:top="1100" w:right="1080" w:bottom="1120" w:left="1600" w:header="0" w:footer="938" w:gutter="0"/>
          <w:cols w:space="720"/>
        </w:sectPr>
      </w:pPr>
    </w:p>
    <w:p w:rsidR="00C82245" w:rsidRDefault="00C82245">
      <w:pPr>
        <w:pStyle w:val="Brdtext"/>
        <w:spacing w:before="5"/>
        <w:rPr>
          <w:sz w:val="21"/>
        </w:rPr>
      </w:pPr>
    </w:p>
    <w:p w:rsidR="004D50A7" w:rsidRDefault="00834054" w:rsidP="004D50A7">
      <w:pPr>
        <w:pStyle w:val="Rubrik1"/>
        <w:rPr>
          <w:rFonts w:eastAsia="Times New Roman" w:cs="Times New Roman"/>
        </w:rPr>
      </w:pPr>
      <w:bookmarkStart w:id="2" w:name="_bookmark10"/>
      <w:bookmarkEnd w:id="2"/>
      <w:r>
        <w:t xml:space="preserve">Delegationsordning </w:t>
      </w:r>
      <w:r w:rsidR="004D50A7">
        <w:t>för gemensam nämnd för företagshälsovård samt tolk- och översättarservice</w:t>
      </w:r>
    </w:p>
    <w:p w:rsidR="00C82245" w:rsidRDefault="00C82245">
      <w:pPr>
        <w:pStyle w:val="Rubrik1"/>
        <w:spacing w:before="98"/>
        <w:ind w:left="181"/>
      </w:pPr>
    </w:p>
    <w:p w:rsidR="00C82245" w:rsidRDefault="00834054">
      <w:pPr>
        <w:pStyle w:val="Rubrik2"/>
        <w:numPr>
          <w:ilvl w:val="0"/>
          <w:numId w:val="1"/>
        </w:numPr>
        <w:tabs>
          <w:tab w:val="left" w:pos="405"/>
        </w:tabs>
        <w:spacing w:before="238"/>
      </w:pPr>
      <w:bookmarkStart w:id="3" w:name="_bookmark11"/>
      <w:bookmarkEnd w:id="3"/>
      <w:r>
        <w:t>Företrädarskap</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2"/>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trPr>
          <w:trHeight w:hRule="exact" w:val="3046"/>
        </w:trPr>
        <w:tc>
          <w:tcPr>
            <w:tcW w:w="3519" w:type="dxa"/>
          </w:tcPr>
          <w:p w:rsidR="00C82245" w:rsidRDefault="00834054">
            <w:pPr>
              <w:pStyle w:val="TableParagraph"/>
              <w:spacing w:line="268" w:lineRule="exact"/>
              <w:rPr>
                <w:sz w:val="24"/>
              </w:rPr>
            </w:pPr>
            <w:r>
              <w:rPr>
                <w:sz w:val="24"/>
              </w:rPr>
              <w:t>1.1 Firmatecknare</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Default="00834054">
            <w:pPr>
              <w:pStyle w:val="TableParagraph"/>
              <w:ind w:right="147"/>
              <w:rPr>
                <w:sz w:val="24"/>
              </w:rPr>
            </w:pPr>
            <w:r>
              <w:rPr>
                <w:sz w:val="24"/>
              </w:rPr>
              <w:t>Undertecknande av avtal och andra handlingar från nämnden, inom ramen för fullmäktiges verksamhetsplan och budget. Vid förfall av denne inträder vice ordförande. Kontrasignering av ovan nämnda handlingar görs av föredragande tjänsteman.</w:t>
            </w:r>
          </w:p>
          <w:p w:rsidR="00C82245" w:rsidRDefault="00834054">
            <w:pPr>
              <w:pStyle w:val="TableParagraph"/>
              <w:spacing w:before="8"/>
              <w:ind w:right="80"/>
              <w:rPr>
                <w:sz w:val="24"/>
              </w:rPr>
            </w:pPr>
            <w:r>
              <w:rPr>
                <w:sz w:val="24"/>
              </w:rPr>
              <w:t>Kontrasignering kan även ske av annan anställd i Region Örebro län som nämnden utsett särskilt.</w:t>
            </w:r>
          </w:p>
        </w:tc>
        <w:tc>
          <w:tcPr>
            <w:tcW w:w="3524" w:type="dxa"/>
          </w:tcPr>
          <w:p w:rsidR="00C82245" w:rsidRDefault="00C82245"/>
        </w:tc>
      </w:tr>
      <w:tr w:rsidR="00C82245" w:rsidTr="0089672B">
        <w:trPr>
          <w:trHeight w:hRule="exact" w:val="2454"/>
        </w:trPr>
        <w:tc>
          <w:tcPr>
            <w:tcW w:w="3519" w:type="dxa"/>
          </w:tcPr>
          <w:p w:rsidR="00C82245" w:rsidRDefault="00834054">
            <w:pPr>
              <w:pStyle w:val="TableParagraph"/>
              <w:ind w:right="799"/>
              <w:rPr>
                <w:sz w:val="24"/>
              </w:rPr>
            </w:pPr>
            <w:r>
              <w:rPr>
                <w:sz w:val="24"/>
              </w:rPr>
              <w:t>1.2 Firmatecknare, löpande åtgärder</w:t>
            </w:r>
          </w:p>
        </w:tc>
        <w:tc>
          <w:tcPr>
            <w:tcW w:w="3519" w:type="dxa"/>
          </w:tcPr>
          <w:p w:rsidR="00C82245" w:rsidRDefault="00834054" w:rsidP="0089672B">
            <w:pPr>
              <w:pStyle w:val="TableParagraph"/>
              <w:ind w:right="453"/>
              <w:rPr>
                <w:sz w:val="24"/>
              </w:rPr>
            </w:pPr>
            <w:r>
              <w:rPr>
                <w:sz w:val="24"/>
              </w:rPr>
              <w:t xml:space="preserve">Förvaltningschef (teckna firma inom </w:t>
            </w:r>
            <w:r w:rsidR="0089672B">
              <w:rPr>
                <w:sz w:val="24"/>
              </w:rPr>
              <w:t>sin del av förvaltningen</w:t>
            </w:r>
            <w:r>
              <w:rPr>
                <w:sz w:val="24"/>
              </w:rPr>
              <w:t>)</w:t>
            </w:r>
          </w:p>
        </w:tc>
        <w:tc>
          <w:tcPr>
            <w:tcW w:w="3526" w:type="dxa"/>
          </w:tcPr>
          <w:p w:rsidR="00C82245" w:rsidRDefault="00834054">
            <w:pPr>
              <w:pStyle w:val="TableParagraph"/>
              <w:ind w:right="93"/>
              <w:rPr>
                <w:sz w:val="24"/>
              </w:rPr>
            </w:pPr>
            <w:r>
              <w:rPr>
                <w:sz w:val="24"/>
              </w:rPr>
              <w:t>Befogenhet att företa rättshandlingar, som att attestera och skriva under avtal inom ramen för fullmäktiges verksamhetsplan och budget, vilka blir bindande för Region Örebro län. Befogenhet att fatta beslut i organisationsfråga.</w:t>
            </w:r>
          </w:p>
          <w:p w:rsidR="0089672B" w:rsidRDefault="0089672B" w:rsidP="0089672B">
            <w:pPr>
              <w:pStyle w:val="TableParagraph"/>
              <w:spacing w:before="9" w:line="249" w:lineRule="auto"/>
              <w:ind w:left="71" w:hanging="2"/>
              <w:rPr>
                <w:w w:val="105"/>
                <w:sz w:val="21"/>
              </w:rPr>
            </w:pPr>
            <w:r>
              <w:rPr>
                <w:w w:val="105"/>
                <w:sz w:val="21"/>
              </w:rPr>
              <w:t>Även rätt att besluta om att avstå att svara på remiss.</w:t>
            </w:r>
          </w:p>
          <w:p w:rsidR="0089672B" w:rsidRDefault="0089672B">
            <w:pPr>
              <w:pStyle w:val="TableParagraph"/>
              <w:ind w:right="93"/>
              <w:rPr>
                <w:sz w:val="24"/>
              </w:rPr>
            </w:pPr>
          </w:p>
        </w:tc>
        <w:tc>
          <w:tcPr>
            <w:tcW w:w="3524" w:type="dxa"/>
          </w:tcPr>
          <w:p w:rsidR="00C82245" w:rsidRDefault="00834054">
            <w:pPr>
              <w:pStyle w:val="TableParagraph"/>
              <w:spacing w:line="268" w:lineRule="exact"/>
              <w:rPr>
                <w:sz w:val="24"/>
              </w:rPr>
            </w:pPr>
            <w:r>
              <w:rPr>
                <w:sz w:val="24"/>
              </w:rPr>
              <w:t>Får vidaredelegeras</w:t>
            </w:r>
          </w:p>
        </w:tc>
      </w:tr>
    </w:tbl>
    <w:p w:rsidR="00C82245" w:rsidRDefault="00C82245">
      <w:pPr>
        <w:pStyle w:val="Brdtext"/>
        <w:spacing w:before="2"/>
        <w:rPr>
          <w:rFonts w:ascii="Times New Roman"/>
          <w:sz w:val="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rsidTr="006E08A3">
        <w:trPr>
          <w:trHeight w:hRule="exact" w:val="2327"/>
        </w:trPr>
        <w:tc>
          <w:tcPr>
            <w:tcW w:w="3519" w:type="dxa"/>
          </w:tcPr>
          <w:p w:rsidR="00C82245" w:rsidRDefault="00834054">
            <w:pPr>
              <w:pStyle w:val="TableParagraph"/>
              <w:spacing w:line="268" w:lineRule="exact"/>
              <w:rPr>
                <w:sz w:val="24"/>
              </w:rPr>
            </w:pPr>
            <w:r>
              <w:rPr>
                <w:sz w:val="24"/>
              </w:rPr>
              <w:t>1.3 Fullmakt</w:t>
            </w:r>
          </w:p>
        </w:tc>
        <w:tc>
          <w:tcPr>
            <w:tcW w:w="3519" w:type="dxa"/>
          </w:tcPr>
          <w:p w:rsidR="00C82245" w:rsidRDefault="00834054">
            <w:pPr>
              <w:pStyle w:val="TableParagraph"/>
              <w:ind w:right="1799"/>
              <w:rPr>
                <w:sz w:val="24"/>
              </w:rPr>
            </w:pPr>
            <w:r>
              <w:rPr>
                <w:sz w:val="24"/>
              </w:rPr>
              <w:t>Förvaltningschef</w:t>
            </w:r>
          </w:p>
        </w:tc>
        <w:tc>
          <w:tcPr>
            <w:tcW w:w="3526" w:type="dxa"/>
          </w:tcPr>
          <w:p w:rsidR="00C82245" w:rsidRDefault="00834054" w:rsidP="006E08A3">
            <w:pPr>
              <w:pStyle w:val="TableParagraph"/>
              <w:ind w:right="347"/>
              <w:rPr>
                <w:sz w:val="24"/>
              </w:rPr>
            </w:pPr>
            <w:r>
              <w:rPr>
                <w:sz w:val="24"/>
              </w:rPr>
              <w:t>Utfärda fullmakt att föra</w:t>
            </w:r>
            <w:r>
              <w:rPr>
                <w:spacing w:val="-7"/>
                <w:sz w:val="24"/>
              </w:rPr>
              <w:t xml:space="preserve"> </w:t>
            </w:r>
            <w:r>
              <w:rPr>
                <w:sz w:val="24"/>
              </w:rPr>
              <w:t>Region Örebro läns talan i ärenden som rör den egna</w:t>
            </w:r>
            <w:r>
              <w:rPr>
                <w:spacing w:val="-5"/>
                <w:sz w:val="24"/>
              </w:rPr>
              <w:t xml:space="preserve"> </w:t>
            </w:r>
            <w:r>
              <w:rPr>
                <w:sz w:val="24"/>
              </w:rPr>
              <w:t>verksamheten.</w:t>
            </w:r>
            <w:r w:rsidR="006E08A3">
              <w:rPr>
                <w:sz w:val="24"/>
              </w:rPr>
              <w:t xml:space="preserve"> Dock ej rättegångsfullmakt, som utfärdas av regionstyrelsens ordförande (se styrelsens delegationsordning)</w:t>
            </w:r>
          </w:p>
        </w:tc>
        <w:tc>
          <w:tcPr>
            <w:tcW w:w="3524" w:type="dxa"/>
          </w:tcPr>
          <w:p w:rsidR="00C82245" w:rsidRDefault="00C82245"/>
        </w:tc>
      </w:tr>
      <w:tr w:rsidR="00C82245">
        <w:trPr>
          <w:trHeight w:hRule="exact" w:val="362"/>
        </w:trPr>
        <w:tc>
          <w:tcPr>
            <w:tcW w:w="3519" w:type="dxa"/>
          </w:tcPr>
          <w:p w:rsidR="00C82245" w:rsidRDefault="00834054">
            <w:pPr>
              <w:pStyle w:val="TableParagraph"/>
              <w:spacing w:line="268" w:lineRule="exact"/>
              <w:rPr>
                <w:sz w:val="24"/>
              </w:rPr>
            </w:pPr>
            <w:r>
              <w:rPr>
                <w:sz w:val="24"/>
              </w:rPr>
              <w:t>1.4 Mottagande av delgivning</w:t>
            </w:r>
          </w:p>
        </w:tc>
        <w:tc>
          <w:tcPr>
            <w:tcW w:w="3519" w:type="dxa"/>
          </w:tcPr>
          <w:p w:rsidR="00C82245" w:rsidRDefault="006E08A3">
            <w:pPr>
              <w:pStyle w:val="TableParagraph"/>
              <w:spacing w:line="268" w:lineRule="exact"/>
              <w:rPr>
                <w:sz w:val="24"/>
              </w:rPr>
            </w:pPr>
            <w:r>
              <w:rPr>
                <w:sz w:val="24"/>
              </w:rPr>
              <w:t>Förvaltningschef</w:t>
            </w:r>
          </w:p>
        </w:tc>
        <w:tc>
          <w:tcPr>
            <w:tcW w:w="3526" w:type="dxa"/>
          </w:tcPr>
          <w:p w:rsidR="00C82245" w:rsidRDefault="00C82245"/>
        </w:tc>
        <w:tc>
          <w:tcPr>
            <w:tcW w:w="3524" w:type="dxa"/>
          </w:tcPr>
          <w:p w:rsidR="00C82245" w:rsidRDefault="00834054">
            <w:pPr>
              <w:pStyle w:val="TableParagraph"/>
              <w:spacing w:line="268" w:lineRule="exact"/>
              <w:rPr>
                <w:sz w:val="24"/>
              </w:rPr>
            </w:pPr>
            <w:r>
              <w:rPr>
                <w:sz w:val="24"/>
              </w:rPr>
              <w:t>Får vidaredelegeras</w:t>
            </w:r>
          </w:p>
        </w:tc>
      </w:tr>
      <w:tr w:rsidR="00C82245">
        <w:trPr>
          <w:trHeight w:hRule="exact" w:val="1390"/>
        </w:trPr>
        <w:tc>
          <w:tcPr>
            <w:tcW w:w="3519" w:type="dxa"/>
          </w:tcPr>
          <w:p w:rsidR="00C82245" w:rsidRDefault="00834054">
            <w:pPr>
              <w:pStyle w:val="TableParagraph"/>
              <w:spacing w:line="268" w:lineRule="exact"/>
              <w:rPr>
                <w:sz w:val="24"/>
              </w:rPr>
            </w:pPr>
            <w:r>
              <w:rPr>
                <w:sz w:val="24"/>
              </w:rPr>
              <w:t>1.5 Brådskande beslut</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Default="00834054">
            <w:pPr>
              <w:pStyle w:val="TableParagraph"/>
              <w:ind w:right="253"/>
              <w:rPr>
                <w:sz w:val="24"/>
              </w:rPr>
            </w:pPr>
            <w:r>
              <w:rPr>
                <w:sz w:val="24"/>
              </w:rPr>
              <w:t>Fatta beslut å nämnden</w:t>
            </w:r>
            <w:r w:rsidR="002A3219">
              <w:rPr>
                <w:sz w:val="24"/>
              </w:rPr>
              <w:t>s</w:t>
            </w:r>
            <w:r>
              <w:rPr>
                <w:sz w:val="24"/>
              </w:rPr>
              <w:t xml:space="preserve"> vägnar i ärenden som är så brådskande att nämndens avgörande inte kan </w:t>
            </w:r>
            <w:r w:rsidR="002A3219">
              <w:rPr>
                <w:sz w:val="24"/>
              </w:rPr>
              <w:t>avvaktas, Kommunallagen 6 kap 39</w:t>
            </w:r>
            <w:r>
              <w:rPr>
                <w:sz w:val="24"/>
              </w:rPr>
              <w:t xml:space="preserve"> §.</w:t>
            </w:r>
          </w:p>
        </w:tc>
        <w:tc>
          <w:tcPr>
            <w:tcW w:w="3524" w:type="dxa"/>
          </w:tcPr>
          <w:p w:rsidR="00C82245" w:rsidRDefault="00C82245"/>
        </w:tc>
      </w:tr>
    </w:tbl>
    <w:p w:rsidR="00C82245" w:rsidRDefault="00C82245">
      <w:pPr>
        <w:pStyle w:val="Brdtext"/>
        <w:rPr>
          <w:rFonts w:ascii="Times New Roman"/>
          <w:sz w:val="20"/>
        </w:rPr>
      </w:pPr>
    </w:p>
    <w:p w:rsidR="00C82245" w:rsidRDefault="00C82245">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4D50A7" w:rsidRDefault="004D50A7">
      <w:pPr>
        <w:pStyle w:val="Brdtext"/>
        <w:rPr>
          <w:rFonts w:ascii="Times New Roman"/>
          <w:sz w:val="20"/>
        </w:rPr>
      </w:pPr>
    </w:p>
    <w:p w:rsidR="00C82245" w:rsidRDefault="00C82245">
      <w:pPr>
        <w:pStyle w:val="Brdtext"/>
        <w:spacing w:before="10"/>
        <w:rPr>
          <w:rFonts w:ascii="Times New Roman"/>
          <w:sz w:val="19"/>
        </w:rPr>
      </w:pPr>
    </w:p>
    <w:p w:rsidR="00C82245" w:rsidRDefault="00834054">
      <w:pPr>
        <w:pStyle w:val="Rubrik2"/>
        <w:numPr>
          <w:ilvl w:val="0"/>
          <w:numId w:val="1"/>
        </w:numPr>
        <w:tabs>
          <w:tab w:val="left" w:pos="405"/>
        </w:tabs>
        <w:spacing w:before="101"/>
      </w:pPr>
      <w:bookmarkStart w:id="4" w:name="_bookmark12"/>
      <w:bookmarkEnd w:id="4"/>
      <w:r>
        <w:t>Beslut rörande</w:t>
      </w:r>
      <w:r>
        <w:rPr>
          <w:spacing w:val="-8"/>
        </w:rPr>
        <w:t xml:space="preserve"> </w:t>
      </w:r>
      <w:r>
        <w:t>förtroendevalda</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1"/>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rsidTr="004D50A7">
        <w:trPr>
          <w:trHeight w:hRule="exact" w:val="916"/>
        </w:trPr>
        <w:tc>
          <w:tcPr>
            <w:tcW w:w="3519" w:type="dxa"/>
          </w:tcPr>
          <w:p w:rsidR="00C82245" w:rsidRDefault="00834054">
            <w:pPr>
              <w:pStyle w:val="TableParagraph"/>
              <w:ind w:right="712"/>
              <w:rPr>
                <w:sz w:val="24"/>
              </w:rPr>
            </w:pPr>
            <w:r>
              <w:rPr>
                <w:sz w:val="24"/>
              </w:rPr>
              <w:t>2.1 Utbildni</w:t>
            </w:r>
            <w:r w:rsidR="0089672B">
              <w:rPr>
                <w:sz w:val="24"/>
              </w:rPr>
              <w:t>ngar, kurser och konferenser, utrikes tjänsteresa</w:t>
            </w:r>
          </w:p>
        </w:tc>
        <w:tc>
          <w:tcPr>
            <w:tcW w:w="3519" w:type="dxa"/>
          </w:tcPr>
          <w:p w:rsidR="00C82245" w:rsidRDefault="00834054">
            <w:pPr>
              <w:pStyle w:val="TableParagraph"/>
              <w:spacing w:line="268" w:lineRule="exact"/>
              <w:rPr>
                <w:sz w:val="24"/>
              </w:rPr>
            </w:pPr>
            <w:r>
              <w:rPr>
                <w:sz w:val="24"/>
              </w:rPr>
              <w:t>Ordförande</w:t>
            </w:r>
          </w:p>
        </w:tc>
        <w:tc>
          <w:tcPr>
            <w:tcW w:w="3526" w:type="dxa"/>
          </w:tcPr>
          <w:p w:rsidR="00C82245" w:rsidRPr="004D50A7" w:rsidRDefault="0089672B">
            <w:pPr>
              <w:rPr>
                <w:rFonts w:ascii="Times New Roman" w:hAnsi="Times New Roman" w:cs="Times New Roman"/>
                <w:sz w:val="24"/>
                <w:szCs w:val="24"/>
              </w:rPr>
            </w:pPr>
            <w:r w:rsidRPr="004D50A7">
              <w:rPr>
                <w:rFonts w:ascii="Times New Roman" w:hAnsi="Times New Roman" w:cs="Times New Roman"/>
                <w:sz w:val="24"/>
                <w:szCs w:val="24"/>
              </w:rPr>
              <w:t>Avser nämndens ledamöter och ersättare samt personer valda av nämnden</w:t>
            </w:r>
          </w:p>
        </w:tc>
        <w:tc>
          <w:tcPr>
            <w:tcW w:w="3524" w:type="dxa"/>
          </w:tcPr>
          <w:p w:rsidR="00C82245" w:rsidRDefault="00C82245"/>
        </w:tc>
      </w:tr>
    </w:tbl>
    <w:p w:rsidR="00C82245" w:rsidRDefault="00C82245">
      <w:pPr>
        <w:pStyle w:val="Brdtext"/>
        <w:rPr>
          <w:rFonts w:ascii="Times New Roman"/>
          <w:sz w:val="26"/>
        </w:rPr>
      </w:pPr>
    </w:p>
    <w:p w:rsidR="00C82245" w:rsidRDefault="00C82245">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6E08A3" w:rsidRDefault="006E08A3">
      <w:pPr>
        <w:pStyle w:val="Brdtext"/>
        <w:rPr>
          <w:rFonts w:ascii="Times New Roman"/>
          <w:sz w:val="26"/>
        </w:rPr>
      </w:pPr>
    </w:p>
    <w:p w:rsidR="00C82245" w:rsidRDefault="00834054">
      <w:pPr>
        <w:pStyle w:val="Rubrik2"/>
        <w:numPr>
          <w:ilvl w:val="0"/>
          <w:numId w:val="1"/>
        </w:numPr>
        <w:tabs>
          <w:tab w:val="left" w:pos="405"/>
        </w:tabs>
        <w:spacing w:before="209"/>
      </w:pPr>
      <w:bookmarkStart w:id="5" w:name="_bookmark13"/>
      <w:bookmarkEnd w:id="5"/>
      <w:r>
        <w:t>Ekonomi</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rPr>
          <w:rFonts w:ascii="Times New Roman"/>
          <w:sz w:val="20"/>
        </w:rPr>
      </w:pPr>
    </w:p>
    <w:p w:rsidR="00C82245" w:rsidRDefault="00C82245">
      <w:pPr>
        <w:pStyle w:val="Brdtext"/>
        <w:spacing w:before="1"/>
        <w:rPr>
          <w:rFonts w:ascii="Times New Roman"/>
          <w:sz w:val="1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9"/>
        <w:gridCol w:w="3519"/>
        <w:gridCol w:w="3526"/>
        <w:gridCol w:w="3524"/>
      </w:tblGrid>
      <w:tr w:rsidR="00C82245" w:rsidTr="004D50A7">
        <w:trPr>
          <w:trHeight w:hRule="exact" w:val="578"/>
        </w:trPr>
        <w:tc>
          <w:tcPr>
            <w:tcW w:w="348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rsidTr="004D50A7">
        <w:trPr>
          <w:trHeight w:hRule="exact" w:val="1062"/>
        </w:trPr>
        <w:tc>
          <w:tcPr>
            <w:tcW w:w="3489" w:type="dxa"/>
          </w:tcPr>
          <w:p w:rsidR="00C82245" w:rsidRDefault="00834054">
            <w:pPr>
              <w:pStyle w:val="TableParagraph"/>
              <w:rPr>
                <w:sz w:val="24"/>
              </w:rPr>
            </w:pPr>
            <w:r>
              <w:rPr>
                <w:sz w:val="24"/>
              </w:rPr>
              <w:t>3.1 Fördelning/omfördelning av ekonomiska medel inom</w:t>
            </w:r>
            <w:r w:rsidR="006E08A3">
              <w:rPr>
                <w:sz w:val="24"/>
              </w:rPr>
              <w:t xml:space="preserve"> förvaltning</w:t>
            </w:r>
          </w:p>
        </w:tc>
        <w:tc>
          <w:tcPr>
            <w:tcW w:w="3519" w:type="dxa"/>
          </w:tcPr>
          <w:p w:rsidR="00C82245" w:rsidRDefault="00834054">
            <w:pPr>
              <w:pStyle w:val="TableParagraph"/>
              <w:ind w:right="1799"/>
              <w:rPr>
                <w:sz w:val="24"/>
              </w:rPr>
            </w:pPr>
            <w:r>
              <w:rPr>
                <w:sz w:val="24"/>
              </w:rPr>
              <w:t>Förvaltningschef</w:t>
            </w:r>
          </w:p>
          <w:p w:rsidR="006E08A3" w:rsidRDefault="006E08A3">
            <w:pPr>
              <w:pStyle w:val="TableParagraph"/>
              <w:ind w:right="1799"/>
              <w:rPr>
                <w:sz w:val="24"/>
              </w:rPr>
            </w:pPr>
            <w:r>
              <w:rPr>
                <w:sz w:val="24"/>
              </w:rPr>
              <w:t>Områdeschef</w:t>
            </w:r>
          </w:p>
        </w:tc>
        <w:tc>
          <w:tcPr>
            <w:tcW w:w="3526" w:type="dxa"/>
          </w:tcPr>
          <w:p w:rsidR="00C82245" w:rsidRDefault="006E08A3" w:rsidP="006E08A3">
            <w:pPr>
              <w:pStyle w:val="TableParagraph"/>
              <w:ind w:right="33"/>
            </w:pPr>
            <w:r w:rsidRPr="006E08A3">
              <w:rPr>
                <w:sz w:val="24"/>
              </w:rPr>
              <w:t xml:space="preserve">För </w:t>
            </w:r>
            <w:r>
              <w:rPr>
                <w:sz w:val="24"/>
              </w:rPr>
              <w:t>o</w:t>
            </w:r>
            <w:r w:rsidRPr="006E08A3">
              <w:rPr>
                <w:sz w:val="24"/>
              </w:rPr>
              <w:t>mrådeschef, inom sitt område</w:t>
            </w:r>
          </w:p>
        </w:tc>
        <w:tc>
          <w:tcPr>
            <w:tcW w:w="3524" w:type="dxa"/>
          </w:tcPr>
          <w:p w:rsidR="00C82245" w:rsidRDefault="00C82245"/>
        </w:tc>
      </w:tr>
    </w:tbl>
    <w:p w:rsidR="00C82245" w:rsidRDefault="00C82245">
      <w:pPr>
        <w:pStyle w:val="Brdtext"/>
        <w:spacing w:before="2"/>
        <w:rPr>
          <w:rFonts w:ascii="Times New Roman"/>
          <w:sz w:val="8"/>
        </w:rPr>
      </w:pPr>
    </w:p>
    <w:p w:rsidR="006E08A3" w:rsidRDefault="006E08A3">
      <w:pPr>
        <w:pStyle w:val="Brdtext"/>
        <w:spacing w:before="4"/>
        <w:rPr>
          <w:rFonts w:ascii="Times New Roman"/>
          <w:sz w:val="21"/>
        </w:rPr>
      </w:pPr>
    </w:p>
    <w:p w:rsidR="006E08A3" w:rsidRDefault="006E08A3">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F3234D" w:rsidRDefault="00F3234D">
      <w:pPr>
        <w:pStyle w:val="Brdtext"/>
        <w:spacing w:before="4"/>
        <w:rPr>
          <w:rFonts w:ascii="Times New Roman"/>
          <w:sz w:val="21"/>
        </w:rPr>
      </w:pPr>
    </w:p>
    <w:p w:rsidR="006E08A3" w:rsidRDefault="006E08A3">
      <w:pPr>
        <w:pStyle w:val="Brdtext"/>
        <w:spacing w:before="4"/>
        <w:rPr>
          <w:rFonts w:ascii="Times New Roman"/>
          <w:sz w:val="21"/>
        </w:rPr>
      </w:pPr>
    </w:p>
    <w:p w:rsidR="00C82245" w:rsidRDefault="00834054">
      <w:pPr>
        <w:pStyle w:val="Rubrik2"/>
        <w:numPr>
          <w:ilvl w:val="0"/>
          <w:numId w:val="1"/>
        </w:numPr>
        <w:tabs>
          <w:tab w:val="left" w:pos="405"/>
        </w:tabs>
        <w:spacing w:before="101"/>
      </w:pPr>
      <w:bookmarkStart w:id="6" w:name="_bookmark14"/>
      <w:bookmarkEnd w:id="6"/>
      <w:r>
        <w:t>Upphandling</w:t>
      </w:r>
    </w:p>
    <w:p w:rsidR="00C82245" w:rsidRDefault="00834054">
      <w:pPr>
        <w:pStyle w:val="Rubrik3"/>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rPr>
          <w:rFonts w:ascii="Times New Roman"/>
          <w:sz w:val="20"/>
        </w:rPr>
      </w:pPr>
    </w:p>
    <w:p w:rsidR="00C82245" w:rsidRDefault="00C82245">
      <w:pPr>
        <w:pStyle w:val="Brdtext"/>
        <w:spacing w:before="1" w:after="1"/>
        <w:rPr>
          <w:rFonts w:ascii="Times New Roman"/>
          <w:sz w:val="15"/>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trPr>
          <w:trHeight w:hRule="exact" w:val="1666"/>
        </w:trPr>
        <w:tc>
          <w:tcPr>
            <w:tcW w:w="3519" w:type="dxa"/>
          </w:tcPr>
          <w:p w:rsidR="00C82245" w:rsidRDefault="00834054" w:rsidP="003D2921">
            <w:pPr>
              <w:pStyle w:val="TableParagraph"/>
              <w:spacing w:line="268" w:lineRule="exact"/>
              <w:rPr>
                <w:sz w:val="24"/>
              </w:rPr>
            </w:pPr>
            <w:r>
              <w:rPr>
                <w:sz w:val="24"/>
              </w:rPr>
              <w:t>4.1 Initiering av upphandling</w:t>
            </w:r>
            <w:r w:rsidR="002A3219">
              <w:rPr>
                <w:sz w:val="24"/>
              </w:rPr>
              <w:t xml:space="preserve"> av</w:t>
            </w:r>
            <w:r w:rsidR="003D2921">
              <w:rPr>
                <w:sz w:val="24"/>
              </w:rPr>
              <w:t>seende nämndens egen verksamhet.</w:t>
            </w:r>
          </w:p>
        </w:tc>
        <w:tc>
          <w:tcPr>
            <w:tcW w:w="3519" w:type="dxa"/>
          </w:tcPr>
          <w:p w:rsidR="00C82245" w:rsidRDefault="002A3219">
            <w:pPr>
              <w:pStyle w:val="TableParagraph"/>
              <w:spacing w:line="268" w:lineRule="exact"/>
              <w:rPr>
                <w:sz w:val="24"/>
              </w:rPr>
            </w:pPr>
            <w:r>
              <w:rPr>
                <w:sz w:val="24"/>
              </w:rPr>
              <w:t>Förvaltningschef</w:t>
            </w:r>
          </w:p>
        </w:tc>
        <w:tc>
          <w:tcPr>
            <w:tcW w:w="3526" w:type="dxa"/>
          </w:tcPr>
          <w:p w:rsidR="00C82245" w:rsidRDefault="00834054">
            <w:pPr>
              <w:pStyle w:val="TableParagraph"/>
              <w:ind w:right="59"/>
              <w:rPr>
                <w:sz w:val="24"/>
              </w:rPr>
            </w:pPr>
            <w:r>
              <w:rPr>
                <w:sz w:val="24"/>
              </w:rPr>
              <w:t>Upphandlingsinitieringar till ett avtalsbelopp om</w:t>
            </w:r>
          </w:p>
          <w:p w:rsidR="00C82245" w:rsidRDefault="00834054">
            <w:pPr>
              <w:pStyle w:val="TableParagraph"/>
              <w:spacing w:before="8"/>
              <w:rPr>
                <w:sz w:val="24"/>
              </w:rPr>
            </w:pPr>
            <w:r>
              <w:rPr>
                <w:sz w:val="24"/>
              </w:rPr>
              <w:t>5 000 000 kr.</w:t>
            </w:r>
          </w:p>
          <w:p w:rsidR="003D2921" w:rsidRDefault="00834054">
            <w:pPr>
              <w:pStyle w:val="TableParagraph"/>
              <w:ind w:right="206"/>
              <w:rPr>
                <w:sz w:val="24"/>
              </w:rPr>
            </w:pPr>
            <w:r>
              <w:rPr>
                <w:sz w:val="24"/>
              </w:rPr>
              <w:t xml:space="preserve">Upphandlingar på belopp under </w:t>
            </w:r>
          </w:p>
          <w:p w:rsidR="00C82245" w:rsidRDefault="00834054">
            <w:pPr>
              <w:pStyle w:val="TableParagraph"/>
              <w:ind w:right="206"/>
              <w:rPr>
                <w:sz w:val="24"/>
              </w:rPr>
            </w:pPr>
            <w:r>
              <w:rPr>
                <w:sz w:val="24"/>
              </w:rPr>
              <w:t>1 000 000 kr behöver inte anmälas.</w:t>
            </w:r>
          </w:p>
        </w:tc>
        <w:tc>
          <w:tcPr>
            <w:tcW w:w="3524" w:type="dxa"/>
          </w:tcPr>
          <w:p w:rsidR="00C82245" w:rsidRDefault="00834054" w:rsidP="002A3219">
            <w:pPr>
              <w:pStyle w:val="TableParagraph"/>
              <w:ind w:right="1217"/>
              <w:rPr>
                <w:sz w:val="24"/>
              </w:rPr>
            </w:pPr>
            <w:r>
              <w:rPr>
                <w:sz w:val="24"/>
              </w:rPr>
              <w:t>Får vidaredelegeras</w:t>
            </w:r>
          </w:p>
        </w:tc>
      </w:tr>
      <w:tr w:rsidR="00C82245" w:rsidTr="002A3219">
        <w:trPr>
          <w:trHeight w:hRule="exact" w:val="1649"/>
        </w:trPr>
        <w:tc>
          <w:tcPr>
            <w:tcW w:w="3519" w:type="dxa"/>
          </w:tcPr>
          <w:p w:rsidR="00C82245" w:rsidRDefault="00834054" w:rsidP="00F3234D">
            <w:pPr>
              <w:pStyle w:val="TableParagraph"/>
              <w:spacing w:line="268" w:lineRule="exact"/>
              <w:rPr>
                <w:sz w:val="24"/>
              </w:rPr>
            </w:pPr>
            <w:r>
              <w:rPr>
                <w:sz w:val="24"/>
              </w:rPr>
              <w:t>4.2 Tilldelningsbeslut</w:t>
            </w:r>
            <w:r w:rsidR="002A3219">
              <w:rPr>
                <w:sz w:val="24"/>
              </w:rPr>
              <w:t xml:space="preserve"> avseende nämndens egen verksamhet</w:t>
            </w:r>
            <w:r w:rsidR="00F3234D">
              <w:rPr>
                <w:sz w:val="24"/>
              </w:rPr>
              <w:t>.</w:t>
            </w:r>
          </w:p>
        </w:tc>
        <w:tc>
          <w:tcPr>
            <w:tcW w:w="3519" w:type="dxa"/>
          </w:tcPr>
          <w:p w:rsidR="00C82245" w:rsidRDefault="00090897">
            <w:pPr>
              <w:pStyle w:val="TableParagraph"/>
              <w:spacing w:line="268" w:lineRule="exact"/>
              <w:rPr>
                <w:sz w:val="24"/>
              </w:rPr>
            </w:pPr>
            <w:r>
              <w:rPr>
                <w:sz w:val="24"/>
              </w:rPr>
              <w:t>Förvaltningschef</w:t>
            </w:r>
          </w:p>
        </w:tc>
        <w:tc>
          <w:tcPr>
            <w:tcW w:w="3526" w:type="dxa"/>
          </w:tcPr>
          <w:p w:rsidR="003D2921" w:rsidRDefault="00834054">
            <w:pPr>
              <w:pStyle w:val="TableParagraph"/>
              <w:ind w:right="126"/>
              <w:rPr>
                <w:sz w:val="24"/>
              </w:rPr>
            </w:pPr>
            <w:r>
              <w:rPr>
                <w:sz w:val="24"/>
              </w:rPr>
              <w:t>Tilldelningsbeslut i upphandlingar där avtalsbeloppet understiger</w:t>
            </w:r>
          </w:p>
          <w:p w:rsidR="00C82245" w:rsidRDefault="00834054">
            <w:pPr>
              <w:pStyle w:val="TableParagraph"/>
              <w:ind w:right="126"/>
              <w:rPr>
                <w:sz w:val="24"/>
              </w:rPr>
            </w:pPr>
            <w:r>
              <w:rPr>
                <w:sz w:val="24"/>
              </w:rPr>
              <w:t>10 000 000 kr.</w:t>
            </w:r>
          </w:p>
        </w:tc>
        <w:tc>
          <w:tcPr>
            <w:tcW w:w="3524" w:type="dxa"/>
          </w:tcPr>
          <w:p w:rsidR="00C82245" w:rsidRDefault="00834054" w:rsidP="002A3219">
            <w:pPr>
              <w:pStyle w:val="TableParagraph"/>
              <w:ind w:right="1217"/>
              <w:rPr>
                <w:sz w:val="24"/>
              </w:rPr>
            </w:pPr>
            <w:r>
              <w:rPr>
                <w:sz w:val="24"/>
              </w:rPr>
              <w:t xml:space="preserve">Får vidaredelegeras </w:t>
            </w:r>
          </w:p>
        </w:tc>
      </w:tr>
    </w:tbl>
    <w:p w:rsidR="00C82245" w:rsidRDefault="00C82245">
      <w:pPr>
        <w:rPr>
          <w:sz w:val="24"/>
        </w:rPr>
      </w:pPr>
    </w:p>
    <w:p w:rsidR="00090897" w:rsidRDefault="00090897" w:rsidP="00090897"/>
    <w:p w:rsidR="00090897" w:rsidRDefault="00090897">
      <w:pPr>
        <w:rPr>
          <w:sz w:val="24"/>
        </w:rPr>
        <w:sectPr w:rsidR="00090897">
          <w:pgSz w:w="16840" w:h="11910" w:orient="landscape"/>
          <w:pgMar w:top="1100" w:right="1000" w:bottom="1120" w:left="1520" w:header="0" w:footer="938" w:gutter="0"/>
          <w:cols w:space="720"/>
        </w:sectPr>
      </w:pPr>
    </w:p>
    <w:p w:rsidR="00C82245" w:rsidRDefault="003D2921" w:rsidP="00635C2C">
      <w:pPr>
        <w:pStyle w:val="Rubrik2"/>
        <w:tabs>
          <w:tab w:val="left" w:pos="405"/>
        </w:tabs>
        <w:spacing w:before="92"/>
      </w:pPr>
      <w:bookmarkStart w:id="7" w:name="_bookmark15"/>
      <w:bookmarkEnd w:id="7"/>
      <w:r>
        <w:t>5</w:t>
      </w:r>
      <w:r w:rsidR="00635C2C">
        <w:t xml:space="preserve"> </w:t>
      </w:r>
      <w:r w:rsidR="00834054">
        <w:t>Särskild</w:t>
      </w:r>
      <w:r w:rsidR="00834054">
        <w:rPr>
          <w:spacing w:val="-6"/>
        </w:rPr>
        <w:t xml:space="preserve"> </w:t>
      </w:r>
      <w:r w:rsidR="00834054">
        <w:t>delegation</w:t>
      </w:r>
    </w:p>
    <w:p w:rsidR="00C82245" w:rsidRDefault="00834054">
      <w:pPr>
        <w:pStyle w:val="Rubrik3"/>
        <w:spacing w:before="52"/>
      </w:pPr>
      <w:r>
        <w:t>Rutin: Beslut fattade med stöd av delegation anmäls till nästkommande sammanträde med nämnden. Delegaten ansvarar för att anmälan sker genom att kopia av beslutet sänds till nämndens sekreterare.</w:t>
      </w:r>
    </w:p>
    <w:p w:rsidR="00C82245" w:rsidRDefault="00C82245">
      <w:pPr>
        <w:pStyle w:val="Brdtext"/>
        <w:spacing w:before="1"/>
        <w:rPr>
          <w:rFonts w:ascii="Times New Roman"/>
          <w:sz w:val="11"/>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19"/>
        <w:gridCol w:w="3526"/>
        <w:gridCol w:w="3524"/>
      </w:tblGrid>
      <w:tr w:rsidR="00C82245">
        <w:trPr>
          <w:trHeight w:hRule="exact" w:val="578"/>
        </w:trPr>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Ärendetyp</w:t>
            </w:r>
          </w:p>
        </w:tc>
        <w:tc>
          <w:tcPr>
            <w:tcW w:w="3519"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Delegering till</w:t>
            </w:r>
          </w:p>
        </w:tc>
        <w:tc>
          <w:tcPr>
            <w:tcW w:w="3526" w:type="dxa"/>
          </w:tcPr>
          <w:p w:rsidR="00C82245" w:rsidRDefault="00C82245">
            <w:pPr>
              <w:pStyle w:val="TableParagraph"/>
              <w:spacing w:before="6"/>
              <w:ind w:left="0"/>
              <w:rPr>
                <w:sz w:val="20"/>
              </w:rPr>
            </w:pPr>
          </w:p>
          <w:p w:rsidR="00C82245" w:rsidRDefault="00834054">
            <w:pPr>
              <w:pStyle w:val="TableParagraph"/>
              <w:spacing w:before="1"/>
              <w:rPr>
                <w:rFonts w:ascii="Calibri"/>
                <w:b/>
              </w:rPr>
            </w:pPr>
            <w:r>
              <w:rPr>
                <w:rFonts w:ascii="Calibri"/>
                <w:b/>
              </w:rPr>
              <w:t>Beskrivning</w:t>
            </w:r>
          </w:p>
        </w:tc>
        <w:tc>
          <w:tcPr>
            <w:tcW w:w="3524" w:type="dxa"/>
          </w:tcPr>
          <w:p w:rsidR="00C82245" w:rsidRDefault="00C82245">
            <w:pPr>
              <w:pStyle w:val="TableParagraph"/>
              <w:spacing w:before="6"/>
              <w:ind w:left="0"/>
              <w:rPr>
                <w:sz w:val="20"/>
              </w:rPr>
            </w:pPr>
          </w:p>
          <w:p w:rsidR="00C82245" w:rsidRDefault="00834054">
            <w:pPr>
              <w:pStyle w:val="TableParagraph"/>
              <w:spacing w:before="1"/>
              <w:rPr>
                <w:rFonts w:ascii="Calibri" w:hAnsi="Calibri"/>
                <w:b/>
              </w:rPr>
            </w:pPr>
            <w:r>
              <w:rPr>
                <w:rFonts w:ascii="Calibri" w:hAnsi="Calibri"/>
                <w:b/>
              </w:rPr>
              <w:t>Möjlighet till vidaredelegation</w:t>
            </w:r>
          </w:p>
        </w:tc>
      </w:tr>
      <w:tr w:rsidR="00C82245">
        <w:trPr>
          <w:trHeight w:hRule="exact" w:val="841"/>
        </w:trPr>
        <w:tc>
          <w:tcPr>
            <w:tcW w:w="3519" w:type="dxa"/>
          </w:tcPr>
          <w:p w:rsidR="00C82245" w:rsidRDefault="003D2921">
            <w:pPr>
              <w:pStyle w:val="TableParagraph"/>
              <w:spacing w:line="270" w:lineRule="exact"/>
              <w:rPr>
                <w:sz w:val="24"/>
              </w:rPr>
            </w:pPr>
            <w:r>
              <w:rPr>
                <w:sz w:val="24"/>
              </w:rPr>
              <w:t>5</w:t>
            </w:r>
            <w:r w:rsidR="00834054">
              <w:rPr>
                <w:sz w:val="24"/>
              </w:rPr>
              <w:t>.1 Representation</w:t>
            </w:r>
          </w:p>
        </w:tc>
        <w:tc>
          <w:tcPr>
            <w:tcW w:w="3519" w:type="dxa"/>
          </w:tcPr>
          <w:p w:rsidR="00C82245" w:rsidRDefault="00834054">
            <w:pPr>
              <w:pStyle w:val="TableParagraph"/>
              <w:spacing w:line="270" w:lineRule="exact"/>
              <w:rPr>
                <w:sz w:val="24"/>
              </w:rPr>
            </w:pPr>
            <w:r>
              <w:rPr>
                <w:sz w:val="24"/>
              </w:rPr>
              <w:t>Ordförande</w:t>
            </w:r>
          </w:p>
        </w:tc>
        <w:tc>
          <w:tcPr>
            <w:tcW w:w="3526" w:type="dxa"/>
          </w:tcPr>
          <w:p w:rsidR="00C82245" w:rsidRDefault="00834054">
            <w:pPr>
              <w:pStyle w:val="TableParagraph"/>
              <w:ind w:right="127"/>
              <w:rPr>
                <w:sz w:val="24"/>
              </w:rPr>
            </w:pPr>
            <w:r>
              <w:rPr>
                <w:sz w:val="24"/>
              </w:rPr>
              <w:t>Se riktlinjer för representation. Avser avvikelser från riktlinjer för representation.</w:t>
            </w:r>
          </w:p>
        </w:tc>
        <w:tc>
          <w:tcPr>
            <w:tcW w:w="3524" w:type="dxa"/>
          </w:tcPr>
          <w:p w:rsidR="00C82245" w:rsidRDefault="00834054">
            <w:pPr>
              <w:pStyle w:val="TableParagraph"/>
              <w:spacing w:line="270" w:lineRule="exact"/>
              <w:rPr>
                <w:sz w:val="24"/>
              </w:rPr>
            </w:pPr>
            <w:r>
              <w:rPr>
                <w:sz w:val="24"/>
              </w:rPr>
              <w:t>Får vidaredelegeras</w:t>
            </w:r>
          </w:p>
        </w:tc>
      </w:tr>
      <w:tr w:rsidR="00C82245">
        <w:trPr>
          <w:trHeight w:hRule="exact" w:val="3322"/>
        </w:trPr>
        <w:tc>
          <w:tcPr>
            <w:tcW w:w="3519" w:type="dxa"/>
          </w:tcPr>
          <w:p w:rsidR="00C82245" w:rsidRDefault="003D2921" w:rsidP="002A3219">
            <w:pPr>
              <w:pStyle w:val="TableParagraph"/>
              <w:ind w:right="892"/>
              <w:rPr>
                <w:sz w:val="24"/>
              </w:rPr>
            </w:pPr>
            <w:r>
              <w:rPr>
                <w:sz w:val="24"/>
              </w:rPr>
              <w:t>5</w:t>
            </w:r>
            <w:r w:rsidR="00834054">
              <w:rPr>
                <w:sz w:val="24"/>
              </w:rPr>
              <w:t xml:space="preserve">.2 </w:t>
            </w:r>
            <w:r w:rsidR="002A3219">
              <w:rPr>
                <w:sz w:val="24"/>
              </w:rPr>
              <w:t>Beslut om att inte lämna ut allmän handling</w:t>
            </w:r>
          </w:p>
        </w:tc>
        <w:tc>
          <w:tcPr>
            <w:tcW w:w="3519" w:type="dxa"/>
          </w:tcPr>
          <w:p w:rsidR="00C82245" w:rsidRDefault="00834054">
            <w:pPr>
              <w:pStyle w:val="TableParagraph"/>
              <w:ind w:right="1799"/>
              <w:rPr>
                <w:sz w:val="24"/>
              </w:rPr>
            </w:pPr>
            <w:r>
              <w:rPr>
                <w:sz w:val="24"/>
              </w:rPr>
              <w:t>Regiondirektör Förvaltningschef Regionjurist</w:t>
            </w:r>
          </w:p>
        </w:tc>
        <w:tc>
          <w:tcPr>
            <w:tcW w:w="3526" w:type="dxa"/>
          </w:tcPr>
          <w:p w:rsidR="00C82245" w:rsidRDefault="00834054">
            <w:pPr>
              <w:pStyle w:val="TableParagraph"/>
              <w:ind w:right="219"/>
              <w:rPr>
                <w:sz w:val="24"/>
              </w:rPr>
            </w:pPr>
            <w:r>
              <w:rPr>
                <w:sz w:val="24"/>
              </w:rPr>
              <w:t>Myndighetens prövning enligt offentlighets- och sekretesslagen (SFS 2009:400, främst 6 kap) om utlämnande av allmän handling (jämte överprövning). Även uppställande av förbehåll vid utlämnande. Beslut enligt tryckfrihetsförordningen (SFS 1949:105) 2 kap 14 §.</w:t>
            </w:r>
          </w:p>
          <w:p w:rsidR="00C82245" w:rsidRDefault="00C82245">
            <w:pPr>
              <w:pStyle w:val="TableParagraph"/>
              <w:spacing w:before="8"/>
              <w:ind w:left="0"/>
              <w:rPr>
                <w:sz w:val="24"/>
              </w:rPr>
            </w:pPr>
          </w:p>
          <w:p w:rsidR="00C82245" w:rsidRDefault="00834054">
            <w:pPr>
              <w:pStyle w:val="TableParagraph"/>
              <w:ind w:right="613"/>
              <w:rPr>
                <w:sz w:val="24"/>
              </w:rPr>
            </w:pPr>
            <w:r>
              <w:rPr>
                <w:sz w:val="24"/>
              </w:rPr>
              <w:t>Avser beslut att inte lämna ut allmän handling.</w:t>
            </w:r>
          </w:p>
        </w:tc>
        <w:tc>
          <w:tcPr>
            <w:tcW w:w="3524" w:type="dxa"/>
          </w:tcPr>
          <w:p w:rsidR="00C82245" w:rsidRDefault="00C82245"/>
        </w:tc>
      </w:tr>
    </w:tbl>
    <w:p w:rsidR="006E08A3" w:rsidRPr="006E08A3" w:rsidRDefault="006E08A3">
      <w:pPr>
        <w:rPr>
          <w:rFonts w:ascii="Times New Roman" w:hAnsi="Times New Roman" w:cs="Times New Roman"/>
          <w:sz w:val="24"/>
          <w:szCs w:val="24"/>
        </w:rPr>
      </w:pPr>
      <w:r w:rsidRPr="006E08A3">
        <w:rPr>
          <w:rFonts w:ascii="Times New Roman" w:hAnsi="Times New Roman" w:cs="Times New Roman"/>
          <w:sz w:val="24"/>
          <w:szCs w:val="24"/>
        </w:rPr>
        <w:t>Generellt sett gäller följande: För det fall förvaltningschef har förfall, träder regiondirektören in i förvaltningschefens ställe som delegat.</w:t>
      </w:r>
    </w:p>
    <w:sectPr w:rsidR="006E08A3" w:rsidRPr="006E08A3">
      <w:pgSz w:w="16840" w:h="11910" w:orient="landscape"/>
      <w:pgMar w:top="1100" w:right="1000" w:bottom="1120" w:left="1520" w:header="0" w:footer="9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19" w:rsidRDefault="00402319">
      <w:r>
        <w:separator/>
      </w:r>
    </w:p>
  </w:endnote>
  <w:endnote w:type="continuationSeparator" w:id="0">
    <w:p w:rsidR="00402319" w:rsidRDefault="0040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45" w:rsidRDefault="00834054">
    <w:pPr>
      <w:pStyle w:val="Brdtext"/>
      <w:spacing w:line="14" w:lineRule="auto"/>
      <w:rPr>
        <w:sz w:val="20"/>
      </w:rPr>
    </w:pPr>
    <w:r>
      <w:rPr>
        <w:noProof/>
        <w:lang w:eastAsia="sv-SE"/>
      </w:rPr>
      <mc:AlternateContent>
        <mc:Choice Requires="wps">
          <w:drawing>
            <wp:anchor distT="0" distB="0" distL="114300" distR="114300" simplePos="0" relativeHeight="251657728" behindDoc="1" locked="0" layoutInCell="1" allowOverlap="1">
              <wp:simplePos x="0" y="0"/>
              <wp:positionH relativeFrom="page">
                <wp:posOffset>9836150</wp:posOffset>
              </wp:positionH>
              <wp:positionV relativeFrom="page">
                <wp:posOffset>6825615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245" w:rsidRDefault="00834054">
                          <w:pPr>
                            <w:spacing w:before="10"/>
                            <w:ind w:left="40"/>
                            <w:rPr>
                              <w:rFonts w:ascii="Times New Roman"/>
                              <w:sz w:val="24"/>
                            </w:rPr>
                          </w:pPr>
                          <w:r>
                            <w:fldChar w:fldCharType="begin"/>
                          </w:r>
                          <w:r>
                            <w:rPr>
                              <w:rFonts w:ascii="Times New Roman"/>
                              <w:sz w:val="24"/>
                            </w:rPr>
                            <w:instrText xml:space="preserve"> PAGE </w:instrText>
                          </w:r>
                          <w:r>
                            <w:fldChar w:fldCharType="separate"/>
                          </w:r>
                          <w:r w:rsidR="00574E27">
                            <w:rPr>
                              <w:rFonts w:ascii="Times New Roman"/>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4.5pt;margin-top:537.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" filled="f" stroked="f">
              <v:textbox inset="0,0,0,0">
                <w:txbxContent>
                  <w:p w:rsidR="00C82245" w:rsidRDefault="00834054">
                    <w:pPr>
                      <w:spacing w:before="10"/>
                      <w:ind w:left="40"/>
                      <w:rPr>
                        <w:rFonts w:ascii="Times New Roman"/>
                        <w:sz w:val="24"/>
                      </w:rPr>
                    </w:pPr>
                    <w:r>
                      <w:fldChar w:fldCharType="begin"/>
                    </w:r>
                    <w:r>
                      <w:rPr>
                        <w:rFonts w:ascii="Times New Roman"/>
                        <w:sz w:val="24"/>
                      </w:rPr>
                      <w:instrText xml:space="preserve"> PAGE </w:instrText>
                    </w:r>
                    <w:r>
                      <w:fldChar w:fldCharType="separate"/>
                    </w:r>
                    <w:r w:rsidR="00574E27">
                      <w:rPr>
                        <w:rFonts w:ascii="Times New Roman"/>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19" w:rsidRDefault="00402319">
      <w:r>
        <w:separator/>
      </w:r>
    </w:p>
  </w:footnote>
  <w:footnote w:type="continuationSeparator" w:id="0">
    <w:p w:rsidR="00402319" w:rsidRDefault="0040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54FB"/>
    <w:multiLevelType w:val="hybridMultilevel"/>
    <w:tmpl w:val="E904E246"/>
    <w:lvl w:ilvl="0" w:tplc="16E22252">
      <w:start w:val="1"/>
      <w:numFmt w:val="decimal"/>
      <w:lvlText w:val="%1"/>
      <w:lvlJc w:val="left"/>
      <w:pPr>
        <w:ind w:left="404" w:hanging="223"/>
      </w:pPr>
      <w:rPr>
        <w:rFonts w:ascii="Cambria" w:eastAsia="Cambria" w:hAnsi="Cambria" w:cs="Cambria" w:hint="default"/>
        <w:b/>
        <w:bCs/>
        <w:i/>
        <w:w w:val="100"/>
        <w:sz w:val="28"/>
        <w:szCs w:val="28"/>
      </w:rPr>
    </w:lvl>
    <w:lvl w:ilvl="1" w:tplc="1D70CA24">
      <w:numFmt w:val="bullet"/>
      <w:lvlText w:val="•"/>
      <w:lvlJc w:val="left"/>
      <w:pPr>
        <w:ind w:left="1791" w:hanging="223"/>
      </w:pPr>
      <w:rPr>
        <w:rFonts w:hint="default"/>
      </w:rPr>
    </w:lvl>
    <w:lvl w:ilvl="2" w:tplc="601ECF38">
      <w:numFmt w:val="bullet"/>
      <w:lvlText w:val="•"/>
      <w:lvlJc w:val="left"/>
      <w:pPr>
        <w:ind w:left="3183" w:hanging="223"/>
      </w:pPr>
      <w:rPr>
        <w:rFonts w:hint="default"/>
      </w:rPr>
    </w:lvl>
    <w:lvl w:ilvl="3" w:tplc="277880CC">
      <w:numFmt w:val="bullet"/>
      <w:lvlText w:val="•"/>
      <w:lvlJc w:val="left"/>
      <w:pPr>
        <w:ind w:left="4575" w:hanging="223"/>
      </w:pPr>
      <w:rPr>
        <w:rFonts w:hint="default"/>
      </w:rPr>
    </w:lvl>
    <w:lvl w:ilvl="4" w:tplc="842C1D58">
      <w:numFmt w:val="bullet"/>
      <w:lvlText w:val="•"/>
      <w:lvlJc w:val="left"/>
      <w:pPr>
        <w:ind w:left="5967" w:hanging="223"/>
      </w:pPr>
      <w:rPr>
        <w:rFonts w:hint="default"/>
      </w:rPr>
    </w:lvl>
    <w:lvl w:ilvl="5" w:tplc="35B6172A">
      <w:numFmt w:val="bullet"/>
      <w:lvlText w:val="•"/>
      <w:lvlJc w:val="left"/>
      <w:pPr>
        <w:ind w:left="7359" w:hanging="223"/>
      </w:pPr>
      <w:rPr>
        <w:rFonts w:hint="default"/>
      </w:rPr>
    </w:lvl>
    <w:lvl w:ilvl="6" w:tplc="F0AC7AF8">
      <w:numFmt w:val="bullet"/>
      <w:lvlText w:val="•"/>
      <w:lvlJc w:val="left"/>
      <w:pPr>
        <w:ind w:left="8751" w:hanging="223"/>
      </w:pPr>
      <w:rPr>
        <w:rFonts w:hint="default"/>
      </w:rPr>
    </w:lvl>
    <w:lvl w:ilvl="7" w:tplc="0966FCF4">
      <w:numFmt w:val="bullet"/>
      <w:lvlText w:val="•"/>
      <w:lvlJc w:val="left"/>
      <w:pPr>
        <w:ind w:left="10142" w:hanging="223"/>
      </w:pPr>
      <w:rPr>
        <w:rFonts w:hint="default"/>
      </w:rPr>
    </w:lvl>
    <w:lvl w:ilvl="8" w:tplc="B4943EDA">
      <w:numFmt w:val="bullet"/>
      <w:lvlText w:val="•"/>
      <w:lvlJc w:val="left"/>
      <w:pPr>
        <w:ind w:left="11534" w:hanging="223"/>
      </w:pPr>
      <w:rPr>
        <w:rFonts w:hint="default"/>
      </w:rPr>
    </w:lvl>
  </w:abstractNum>
  <w:abstractNum w:abstractNumId="1" w15:restartNumberingAfterBreak="0">
    <w:nsid w:val="48A243D2"/>
    <w:multiLevelType w:val="hybridMultilevel"/>
    <w:tmpl w:val="3B1CFBCA"/>
    <w:lvl w:ilvl="0" w:tplc="1542C742">
      <w:start w:val="1"/>
      <w:numFmt w:val="decimal"/>
      <w:lvlText w:val="%1"/>
      <w:lvlJc w:val="left"/>
      <w:pPr>
        <w:ind w:left="522" w:hanging="180"/>
      </w:pPr>
      <w:rPr>
        <w:rFonts w:ascii="Times New Roman" w:eastAsia="Times New Roman" w:hAnsi="Times New Roman" w:cs="Times New Roman" w:hint="default"/>
        <w:spacing w:val="-2"/>
        <w:w w:val="99"/>
        <w:sz w:val="24"/>
        <w:szCs w:val="24"/>
      </w:rPr>
    </w:lvl>
    <w:lvl w:ilvl="1" w:tplc="B48A94D6">
      <w:numFmt w:val="bullet"/>
      <w:lvlText w:val="•"/>
      <w:lvlJc w:val="left"/>
      <w:pPr>
        <w:ind w:left="1883" w:hanging="180"/>
      </w:pPr>
      <w:rPr>
        <w:rFonts w:hint="default"/>
      </w:rPr>
    </w:lvl>
    <w:lvl w:ilvl="2" w:tplc="787ED8E2">
      <w:numFmt w:val="bullet"/>
      <w:lvlText w:val="•"/>
      <w:lvlJc w:val="left"/>
      <w:pPr>
        <w:ind w:left="3247" w:hanging="180"/>
      </w:pPr>
      <w:rPr>
        <w:rFonts w:hint="default"/>
      </w:rPr>
    </w:lvl>
    <w:lvl w:ilvl="3" w:tplc="0AAA79A4">
      <w:numFmt w:val="bullet"/>
      <w:lvlText w:val="•"/>
      <w:lvlJc w:val="left"/>
      <w:pPr>
        <w:ind w:left="4611" w:hanging="180"/>
      </w:pPr>
      <w:rPr>
        <w:rFonts w:hint="default"/>
      </w:rPr>
    </w:lvl>
    <w:lvl w:ilvl="4" w:tplc="177680FC">
      <w:numFmt w:val="bullet"/>
      <w:lvlText w:val="•"/>
      <w:lvlJc w:val="left"/>
      <w:pPr>
        <w:ind w:left="5975" w:hanging="180"/>
      </w:pPr>
      <w:rPr>
        <w:rFonts w:hint="default"/>
      </w:rPr>
    </w:lvl>
    <w:lvl w:ilvl="5" w:tplc="A4F48D0A">
      <w:numFmt w:val="bullet"/>
      <w:lvlText w:val="•"/>
      <w:lvlJc w:val="left"/>
      <w:pPr>
        <w:ind w:left="7339" w:hanging="180"/>
      </w:pPr>
      <w:rPr>
        <w:rFonts w:hint="default"/>
      </w:rPr>
    </w:lvl>
    <w:lvl w:ilvl="6" w:tplc="21B22D24">
      <w:numFmt w:val="bullet"/>
      <w:lvlText w:val="•"/>
      <w:lvlJc w:val="left"/>
      <w:pPr>
        <w:ind w:left="8703" w:hanging="180"/>
      </w:pPr>
      <w:rPr>
        <w:rFonts w:hint="default"/>
      </w:rPr>
    </w:lvl>
    <w:lvl w:ilvl="7" w:tplc="0D7A86E8">
      <w:numFmt w:val="bullet"/>
      <w:lvlText w:val="•"/>
      <w:lvlJc w:val="left"/>
      <w:pPr>
        <w:ind w:left="10066" w:hanging="180"/>
      </w:pPr>
      <w:rPr>
        <w:rFonts w:hint="default"/>
      </w:rPr>
    </w:lvl>
    <w:lvl w:ilvl="8" w:tplc="EF7C2366">
      <w:numFmt w:val="bullet"/>
      <w:lvlText w:val="•"/>
      <w:lvlJc w:val="left"/>
      <w:pPr>
        <w:ind w:left="11430" w:hanging="180"/>
      </w:pPr>
      <w:rPr>
        <w:rFonts w:hint="default"/>
      </w:rPr>
    </w:lvl>
  </w:abstractNum>
  <w:abstractNum w:abstractNumId="2" w15:restartNumberingAfterBreak="0">
    <w:nsid w:val="5C713173"/>
    <w:multiLevelType w:val="hybridMultilevel"/>
    <w:tmpl w:val="E904E246"/>
    <w:lvl w:ilvl="0" w:tplc="16E22252">
      <w:start w:val="1"/>
      <w:numFmt w:val="decimal"/>
      <w:lvlText w:val="%1"/>
      <w:lvlJc w:val="left"/>
      <w:pPr>
        <w:ind w:left="404" w:hanging="223"/>
      </w:pPr>
      <w:rPr>
        <w:rFonts w:ascii="Cambria" w:eastAsia="Cambria" w:hAnsi="Cambria" w:cs="Cambria" w:hint="default"/>
        <w:b/>
        <w:bCs/>
        <w:i/>
        <w:w w:val="100"/>
        <w:sz w:val="28"/>
        <w:szCs w:val="28"/>
      </w:rPr>
    </w:lvl>
    <w:lvl w:ilvl="1" w:tplc="1D70CA24">
      <w:numFmt w:val="bullet"/>
      <w:lvlText w:val="•"/>
      <w:lvlJc w:val="left"/>
      <w:pPr>
        <w:ind w:left="1791" w:hanging="223"/>
      </w:pPr>
      <w:rPr>
        <w:rFonts w:hint="default"/>
      </w:rPr>
    </w:lvl>
    <w:lvl w:ilvl="2" w:tplc="601ECF38">
      <w:numFmt w:val="bullet"/>
      <w:lvlText w:val="•"/>
      <w:lvlJc w:val="left"/>
      <w:pPr>
        <w:ind w:left="3183" w:hanging="223"/>
      </w:pPr>
      <w:rPr>
        <w:rFonts w:hint="default"/>
      </w:rPr>
    </w:lvl>
    <w:lvl w:ilvl="3" w:tplc="277880CC">
      <w:numFmt w:val="bullet"/>
      <w:lvlText w:val="•"/>
      <w:lvlJc w:val="left"/>
      <w:pPr>
        <w:ind w:left="4575" w:hanging="223"/>
      </w:pPr>
      <w:rPr>
        <w:rFonts w:hint="default"/>
      </w:rPr>
    </w:lvl>
    <w:lvl w:ilvl="4" w:tplc="842C1D58">
      <w:numFmt w:val="bullet"/>
      <w:lvlText w:val="•"/>
      <w:lvlJc w:val="left"/>
      <w:pPr>
        <w:ind w:left="5967" w:hanging="223"/>
      </w:pPr>
      <w:rPr>
        <w:rFonts w:hint="default"/>
      </w:rPr>
    </w:lvl>
    <w:lvl w:ilvl="5" w:tplc="35B6172A">
      <w:numFmt w:val="bullet"/>
      <w:lvlText w:val="•"/>
      <w:lvlJc w:val="left"/>
      <w:pPr>
        <w:ind w:left="7359" w:hanging="223"/>
      </w:pPr>
      <w:rPr>
        <w:rFonts w:hint="default"/>
      </w:rPr>
    </w:lvl>
    <w:lvl w:ilvl="6" w:tplc="F0AC7AF8">
      <w:numFmt w:val="bullet"/>
      <w:lvlText w:val="•"/>
      <w:lvlJc w:val="left"/>
      <w:pPr>
        <w:ind w:left="8751" w:hanging="223"/>
      </w:pPr>
      <w:rPr>
        <w:rFonts w:hint="default"/>
      </w:rPr>
    </w:lvl>
    <w:lvl w:ilvl="7" w:tplc="0966FCF4">
      <w:numFmt w:val="bullet"/>
      <w:lvlText w:val="•"/>
      <w:lvlJc w:val="left"/>
      <w:pPr>
        <w:ind w:left="10142" w:hanging="223"/>
      </w:pPr>
      <w:rPr>
        <w:rFonts w:hint="default"/>
      </w:rPr>
    </w:lvl>
    <w:lvl w:ilvl="8" w:tplc="B4943EDA">
      <w:numFmt w:val="bullet"/>
      <w:lvlText w:val="•"/>
      <w:lvlJc w:val="left"/>
      <w:pPr>
        <w:ind w:left="11534" w:hanging="2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formatting="1"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45"/>
    <w:rsid w:val="00026EFD"/>
    <w:rsid w:val="00090897"/>
    <w:rsid w:val="000F34C5"/>
    <w:rsid w:val="00106EA1"/>
    <w:rsid w:val="00214555"/>
    <w:rsid w:val="00226A0E"/>
    <w:rsid w:val="0026478B"/>
    <w:rsid w:val="002A3219"/>
    <w:rsid w:val="002C50B9"/>
    <w:rsid w:val="003A4450"/>
    <w:rsid w:val="003D2921"/>
    <w:rsid w:val="00402319"/>
    <w:rsid w:val="00493ED9"/>
    <w:rsid w:val="004D50A7"/>
    <w:rsid w:val="00555744"/>
    <w:rsid w:val="00574E27"/>
    <w:rsid w:val="00592777"/>
    <w:rsid w:val="005B5617"/>
    <w:rsid w:val="00621642"/>
    <w:rsid w:val="006244D9"/>
    <w:rsid w:val="00635C2C"/>
    <w:rsid w:val="006E08A3"/>
    <w:rsid w:val="007B305B"/>
    <w:rsid w:val="00834054"/>
    <w:rsid w:val="0089672B"/>
    <w:rsid w:val="009C4A1B"/>
    <w:rsid w:val="009F5BF1"/>
    <w:rsid w:val="00A41CBB"/>
    <w:rsid w:val="00B741D3"/>
    <w:rsid w:val="00B80380"/>
    <w:rsid w:val="00BF55A6"/>
    <w:rsid w:val="00C82245"/>
    <w:rsid w:val="00DE2354"/>
    <w:rsid w:val="00E22AD5"/>
    <w:rsid w:val="00F3234D"/>
    <w:rsid w:val="00F41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673A6-EDBB-4C1C-B073-0E282787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sv-SE"/>
    </w:rPr>
  </w:style>
  <w:style w:type="paragraph" w:styleId="Rubrik1">
    <w:name w:val="heading 1"/>
    <w:basedOn w:val="Normal"/>
    <w:uiPriority w:val="1"/>
    <w:qFormat/>
    <w:pPr>
      <w:ind w:left="101"/>
      <w:outlineLvl w:val="0"/>
    </w:pPr>
    <w:rPr>
      <w:rFonts w:ascii="Arial Narrow" w:eastAsia="Arial Narrow" w:hAnsi="Arial Narrow" w:cs="Arial Narrow"/>
      <w:sz w:val="68"/>
      <w:szCs w:val="68"/>
    </w:rPr>
  </w:style>
  <w:style w:type="paragraph" w:styleId="Rubrik2">
    <w:name w:val="heading 2"/>
    <w:basedOn w:val="Normal"/>
    <w:uiPriority w:val="1"/>
    <w:qFormat/>
    <w:pPr>
      <w:ind w:left="101"/>
      <w:outlineLvl w:val="1"/>
    </w:pPr>
    <w:rPr>
      <w:rFonts w:ascii="Cambria" w:eastAsia="Cambria" w:hAnsi="Cambria" w:cs="Cambria"/>
      <w:b/>
      <w:bCs/>
      <w:i/>
      <w:sz w:val="28"/>
      <w:szCs w:val="28"/>
    </w:rPr>
  </w:style>
  <w:style w:type="paragraph" w:styleId="Rubrik3">
    <w:name w:val="heading 3"/>
    <w:basedOn w:val="Normal"/>
    <w:uiPriority w:val="1"/>
    <w:qFormat/>
    <w:pPr>
      <w:spacing w:before="54"/>
      <w:ind w:left="181" w:right="583"/>
      <w:outlineLvl w:val="2"/>
    </w:pPr>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ind w:left="101"/>
    </w:pPr>
    <w:rPr>
      <w:rFonts w:ascii="Times New Roman" w:eastAsia="Times New Roman" w:hAnsi="Times New Roman" w:cs="Times New Roman"/>
      <w:sz w:val="24"/>
      <w:szCs w:val="24"/>
    </w:rPr>
  </w:style>
  <w:style w:type="paragraph" w:styleId="Innehll2">
    <w:name w:val="toc 2"/>
    <w:basedOn w:val="Normal"/>
    <w:uiPriority w:val="1"/>
    <w:qFormat/>
    <w:pPr>
      <w:ind w:left="342"/>
    </w:pPr>
    <w:rPr>
      <w:rFonts w:ascii="Times New Roman" w:eastAsia="Times New Roman" w:hAnsi="Times New Roman" w:cs="Times New Roman"/>
      <w:sz w:val="24"/>
      <w:szCs w:val="24"/>
    </w:rPr>
  </w:style>
  <w:style w:type="paragraph" w:styleId="Brdtext">
    <w:name w:val="Body Text"/>
    <w:basedOn w:val="Normal"/>
    <w:uiPriority w:val="1"/>
    <w:qFormat/>
  </w:style>
  <w:style w:type="paragraph" w:styleId="Liststycke">
    <w:name w:val="List Paragraph"/>
    <w:basedOn w:val="Normal"/>
    <w:uiPriority w:val="1"/>
    <w:qFormat/>
    <w:pPr>
      <w:ind w:left="404" w:hanging="223"/>
    </w:pPr>
    <w:rPr>
      <w:rFonts w:ascii="Times New Roman" w:eastAsia="Times New Roman" w:hAnsi="Times New Roman" w:cs="Times New Roman"/>
    </w:rPr>
  </w:style>
  <w:style w:type="paragraph" w:customStyle="1" w:styleId="TableParagraph">
    <w:name w:val="Table Paragraph"/>
    <w:basedOn w:val="Normal"/>
    <w:uiPriority w:val="1"/>
    <w:qFormat/>
    <w:pPr>
      <w:ind w:left="64"/>
    </w:pPr>
    <w:rPr>
      <w:rFonts w:ascii="Times New Roman" w:eastAsia="Times New Roman" w:hAnsi="Times New Roman" w:cs="Times New Roman"/>
    </w:rPr>
  </w:style>
  <w:style w:type="paragraph" w:styleId="Ballongtext">
    <w:name w:val="Balloon Text"/>
    <w:basedOn w:val="Normal"/>
    <w:link w:val="BallongtextChar"/>
    <w:uiPriority w:val="99"/>
    <w:semiHidden/>
    <w:unhideWhenUsed/>
    <w:rsid w:val="006E08A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08A3"/>
    <w:rPr>
      <w:rFonts w:ascii="Segoe UI" w:eastAsia="Arial"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09199">
      <w:bodyDiv w:val="1"/>
      <w:marLeft w:val="0"/>
      <w:marRight w:val="0"/>
      <w:marTop w:val="0"/>
      <w:marBottom w:val="0"/>
      <w:divBdr>
        <w:top w:val="none" w:sz="0" w:space="0" w:color="auto"/>
        <w:left w:val="none" w:sz="0" w:space="0" w:color="auto"/>
        <w:bottom w:val="none" w:sz="0" w:space="0" w:color="auto"/>
        <w:right w:val="none" w:sz="0" w:space="0" w:color="auto"/>
      </w:divBdr>
    </w:div>
    <w:div w:id="138930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1190</Words>
  <Characters>6308</Characters>
  <Application>Microsoft Office Word</Application>
  <DocSecurity>8</DocSecurity>
  <Lines>52</Lines>
  <Paragraphs>14</Paragraphs>
  <ScaleCrop>false</ScaleCrop>
  <HeadingPairs>
    <vt:vector size="2" baseType="variant">
      <vt:variant>
        <vt:lpstr>Rubrik</vt:lpstr>
      </vt:variant>
      <vt:variant>
        <vt:i4>1</vt:i4>
      </vt:variant>
    </vt:vector>
  </HeadingPairs>
  <TitlesOfParts>
    <vt:vector size="1" baseType="lpstr">
      <vt:lpstr>Regionmall</vt:lpstr>
    </vt:vector>
  </TitlesOfParts>
  <Company>Region Örebro län</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Regionmall</dc:title>
  <dc:creator>Larserö Tommy, LK Plan och Admin</dc:creator>
  <cp:lastModifiedBy>Bäckbring Nathalie, Regionkansliet Nämndsadministration</cp:lastModifiedBy>
  <cp:revision>2</cp:revision>
  <cp:lastPrinted>2018-12-14T12:37:00Z</cp:lastPrinted>
  <dcterms:created xsi:type="dcterms:W3CDTF">2021-05-05T13:12:00Z</dcterms:created>
  <dcterms:modified xsi:type="dcterms:W3CDTF">2021-05-05T13:12:00Z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Microsoft® Word 2010</vt:lpwstr>
  </property>
  <property fmtid="{D5CDD505-2E9C-101B-9397-08002B2CF9AE}" pid="4" name="LastSaved">
    <vt:filetime>2018-10-18T00:00:00Z</vt:filetime>
  </property>
</Properties>
</file>